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CBE4" w14:textId="2A852F8A" w:rsid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</w:t>
      </w:r>
      <w:r w:rsidR="00B56B49" w:rsidRPr="00EE08DA">
        <w:rPr>
          <w:rFonts w:ascii="Helvetica Neue" w:eastAsia="Helvetica Neue" w:hAnsi="Helvetica Neue" w:cs="Helvetica Neue"/>
          <w:b/>
          <w:bCs/>
          <w:noProof/>
          <w:sz w:val="20"/>
          <w:szCs w:val="20"/>
          <w:u w:val="double"/>
        </w:rPr>
        <w:drawing>
          <wp:inline distT="0" distB="0" distL="0" distR="0" wp14:anchorId="527D85FE" wp14:editId="7CE918D5">
            <wp:extent cx="514350" cy="514350"/>
            <wp:effectExtent l="0" t="0" r="6350" b="6350"/>
            <wp:docPr id="68059170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591705" name="Picture 6805917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ucun"/>
          <w:rFonts w:ascii="Helvetica Neue" w:eastAsia="Helvetica Neue" w:hAnsi="Helvetica Neue" w:cs="Helvetica Neue"/>
          <w:b/>
          <w:bCs/>
          <w:noProof/>
          <w:sz w:val="20"/>
          <w:szCs w:val="20"/>
        </w:rPr>
        <w:drawing>
          <wp:inline distT="0" distB="0" distL="0" distR="0" wp14:anchorId="055CC2E7" wp14:editId="075FCA34">
            <wp:extent cx="600075" cy="518160"/>
            <wp:effectExtent l="0" t="0" r="0" b="2540"/>
            <wp:docPr id="1073741826" name="officeArt object" descr="A picture containing text, sig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picture containing text, signDescription automatically generated" descr="A picture containing text, signDescription automatically generat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0210" cy="5182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01AEBC47" w14:textId="41BDD31D" w:rsid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Jean-Michel Blais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Pr="00326E79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val="fr-CA"/>
          <w14:ligatures w14:val="none"/>
        </w:rPr>
        <w:t>mirador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– Le n</w:t>
      </w:r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ouvel album à paraître le 25 septembre via 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Arts &amp; Crafts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br/>
      </w:r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Nouvel extrait « </w:t>
      </w:r>
      <w:proofErr w:type="spellStart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ulysse</w:t>
      </w:r>
      <w:proofErr w:type="spellEnd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 xml:space="preserve"> » disponible dès maintenant</w:t>
      </w:r>
    </w:p>
    <w:p w14:paraId="0EEDCC82" w14:textId="4655C349" w:rsidR="00F967A9" w:rsidRPr="00F967A9" w:rsidRDefault="00F967A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F967A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« </w:t>
      </w:r>
      <w:r w:rsidRPr="00F967A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 xml:space="preserve">Le vaste cycle de la vie étoilée portait son esprit las vers l'extérieur jusqu'à ses confins et vers l'intérieur jusqu'à son centre, une musique lointaine l'accompagnant dans ces deux mouvements. </w:t>
      </w:r>
      <w:r w:rsidRPr="00F967A9">
        <w:rPr>
          <w:rFonts w:ascii="Arial" w:eastAsia="Times New Roman" w:hAnsi="Arial" w:cs="Arial"/>
          <w:i/>
          <w:iCs/>
          <w:kern w:val="0"/>
          <w:sz w:val="18"/>
          <w:szCs w:val="18"/>
          <w:lang w:val="en-CA"/>
          <w14:ligatures w14:val="none"/>
        </w:rPr>
        <w:t>Quelle musique?</w:t>
      </w:r>
      <w:r w:rsidRPr="00F967A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» </w:t>
      </w:r>
      <w:r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br/>
      </w:r>
      <w:r w:rsidRPr="00F967A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– James Joyce, A Portrait of the Artist as a Young Man</w:t>
      </w:r>
    </w:p>
    <w:p w14:paraId="27799AE1" w14:textId="49082AB1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Montréal, mai 2026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– Le pianiste et compositeur montréalais </w:t>
      </w:r>
      <w:r w:rsidRPr="00F815F5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Jean-Michel Blais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fera paraître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mirador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son quatrième album en carrière, le 25 septembre prochain via 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Arts &amp; Crafts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Cette annonce s’accompagne du dévoilement d’un premier extrait, « </w:t>
      </w: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ulysse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», disponible dès maintenant sur toutes les plateformes.</w:t>
      </w:r>
    </w:p>
    <w:p w14:paraId="7F376E39" w14:textId="36E679CD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Premier album solo </w:t>
      </w:r>
      <w:r w:rsidR="00F815F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de Jean-Michel 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depuis</w:t>
      </w:r>
      <w:r w:rsidR="00F815F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="00444CDE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d</w:t>
      </w:r>
      <w:r w:rsidR="00F815F5" w:rsidRPr="00F815F5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ésert</w:t>
      </w:r>
      <w:r w:rsidR="00F815F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sa collaboration acclamée avec Lara Somogyi l’an dernier,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mirador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marque un nouveau chapitre dans l’univers musical de</w:t>
      </w:r>
      <w:r w:rsidR="00F815F5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Blais. Délaissant le minimalisme contemporain qui a façonné ses œuvres précédentes, le musicien embrasse ici une approche plus ample et lumineuse, portée par des chœurs, un quatuor à cordes et des instruments andins.</w:t>
      </w:r>
    </w:p>
    <w:p w14:paraId="0C8C724D" w14:textId="77777777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Pensé comme une vaste odyssée sonore,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mirador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puise autant dans les souvenirs d’enfance de Blais à Nicolet que dans ses voyages artistiques, des grottes espagnoles aux forêts estoniennes. Le titre de l’album fait référence aux espaces imaginaires qu’il construisait dans le sous-sol familial — des refuges où il pouvait rêver librement au monde qui l’entourait.</w:t>
      </w:r>
    </w:p>
    <w:p w14:paraId="0309B58A" w14:textId="23E316E0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«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Qu’est-ce que cet étrange endroit où le temps se dissout, suspendu entre ciel et terre, entre réel et irréel?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 évoque Jean-Michel à propos de l’album. «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Une fissure suffit. Le désir d’un ailleurs encore inconnu apparaît, une direction enfin acceptée. La lumière revient.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»</w:t>
      </w:r>
    </w:p>
    <w:p w14:paraId="26862023" w14:textId="55836D17" w:rsidR="00326E79" w:rsidRPr="00326E79" w:rsidRDefault="00444CDE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444CDE">
        <w:rPr>
          <w:rFonts w:ascii="Arial" w:hAnsi="Arial" w:cs="Arial"/>
          <w:color w:val="000000"/>
          <w:sz w:val="18"/>
          <w:szCs w:val="18"/>
          <w:lang w:val="fr-CA"/>
        </w:rPr>
        <w:t>Après plus de 375 millions d’écoutes et les concerts les plus marquants de sa</w:t>
      </w:r>
      <w:r w:rsidRPr="00444CDE">
        <w:rPr>
          <w:rFonts w:ascii="Calibri" w:hAnsi="Calibri" w:cs="Calibri"/>
          <w:color w:val="000000"/>
          <w:sz w:val="22"/>
          <w:szCs w:val="22"/>
          <w:lang w:val="fr-CA"/>
        </w:rPr>
        <w:t xml:space="preserve"> carrière</w:t>
      </w:r>
      <w:r>
        <w:rPr>
          <w:rFonts w:ascii="Calibri" w:hAnsi="Calibri" w:cs="Calibri"/>
          <w:color w:val="000000"/>
          <w:sz w:val="22"/>
          <w:szCs w:val="22"/>
          <w:lang w:val="fr-CA"/>
        </w:rPr>
        <w:t xml:space="preserve"> </w:t>
      </w:r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derrière lui, </w:t>
      </w:r>
      <w:r w:rsidR="00326E79" w:rsidRPr="002F4AA7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Jean-Michel Blais</w:t>
      </w:r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signe avec </w:t>
      </w:r>
      <w:r w:rsidR="00326E79"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mirador</w:t>
      </w:r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son projet le plus ambitieux et cinématographique à ce jour. Réalisé en collaboration avec le compositeur et arrangeur William Brittelle (LA </w:t>
      </w:r>
      <w:proofErr w:type="spellStart"/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Philharmonic</w:t>
      </w:r>
      <w:proofErr w:type="spellEnd"/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, The National), l’album réunit également un chœur de</w:t>
      </w:r>
      <w:r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douze</w:t>
      </w:r>
      <w:r w:rsidR="00326E79"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chanteurs baroques, un quatuor à cordes composé de proches collaborateurs ainsi que le musicien Tulio Velazco Villagra, maître des instruments andins. Une résidence au Arvo Pärt Centre en Estonie a aussi profondément nourri l’atmosphère méditative du disque.</w:t>
      </w:r>
    </w:p>
    <w:p w14:paraId="028BB09E" w14:textId="77777777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Oscillant entre traditions folkloriques, composition contemporaine et narration cinématographique,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mirador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conserve néanmoins l’intimité et la sensibilité qui caractérisent l’œuvre de Jean-Michel Blais depuis ses débuts.</w:t>
      </w:r>
    </w:p>
    <w:p w14:paraId="440355F8" w14:textId="77777777" w:rsidR="00326E79" w:rsidRPr="00326E79" w:rsidRDefault="00326E79" w:rsidP="00326E7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t>Liste</w:t>
      </w:r>
      <w:proofErr w:type="spellEnd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t xml:space="preserve"> des </w:t>
      </w:r>
      <w:proofErr w:type="spellStart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t>pièces</w:t>
      </w:r>
      <w:proofErr w:type="spellEnd"/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en-CA"/>
          <w14:ligatures w14:val="none"/>
        </w:rPr>
        <w:t xml:space="preserve"> – </w:t>
      </w:r>
      <w:r w:rsidRPr="00326E79">
        <w:rPr>
          <w:rFonts w:ascii="Arial" w:eastAsia="Times New Roman" w:hAnsi="Arial" w:cs="Arial"/>
          <w:b/>
          <w:bCs/>
          <w:i/>
          <w:iCs/>
          <w:kern w:val="0"/>
          <w:sz w:val="18"/>
          <w:szCs w:val="18"/>
          <w:lang w:val="en-CA"/>
          <w14:ligatures w14:val="none"/>
        </w:rPr>
        <w:t>mirador</w:t>
      </w:r>
    </w:p>
    <w:p w14:paraId="0B940F59" w14:textId="77777777" w:rsidR="00A3197A" w:rsidRDefault="00A3197A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sectPr w:rsidR="00A3197A" w:rsidSect="007F4317"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4F05EA41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muses </w:t>
      </w:r>
    </w:p>
    <w:p w14:paraId="30F8A451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ulysse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4DC4960F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pavane </w:t>
      </w:r>
    </w:p>
    <w:p w14:paraId="09BDA71A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carnavalito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4BC04844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mirador </w:t>
      </w:r>
    </w:p>
    <w:p w14:paraId="2AA13EE8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quwi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06F71AD5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granada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50CD1AF8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kyrie </w:t>
      </w:r>
    </w:p>
    <w:p w14:paraId="679081C5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laulasmaa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2DCF4F10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silhouettes </w:t>
      </w:r>
    </w:p>
    <w:p w14:paraId="0518F341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>querelle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 </w:t>
      </w:r>
    </w:p>
    <w:p w14:paraId="2938C14F" w14:textId="77777777" w:rsidR="00326E79" w:rsidRPr="00326E79" w:rsidRDefault="00326E79" w:rsidP="00326E79">
      <w:pPr>
        <w:numPr>
          <w:ilvl w:val="0"/>
          <w:numId w:val="1"/>
        </w:num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en-CA"/>
          <w14:ligatures w14:val="none"/>
        </w:rPr>
        <w:t xml:space="preserve">a chambre des possibles </w:t>
      </w:r>
    </w:p>
    <w:p w14:paraId="4A1D8A5F" w14:textId="77777777" w:rsidR="00A3197A" w:rsidRDefault="00A3197A" w:rsidP="00326E7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sectPr w:rsidR="00A3197A" w:rsidSect="00A3197A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5B43F27C" w14:textId="0987D78D" w:rsidR="00326E79" w:rsidRPr="00326E79" w:rsidRDefault="00326E79" w:rsidP="00326E7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À propos de Jean-Michel Blais</w:t>
      </w:r>
      <w:r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br/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Basé à Montréal, </w:t>
      </w:r>
      <w:r w:rsidRPr="002F4AA7"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t>Jean-Michel Blais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est signé chez Arts &amp; Crafts</w:t>
      </w:r>
      <w:r w:rsidR="002F4AA7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au Canada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Mercury KX (Decca)</w:t>
      </w:r>
      <w:r w:rsidR="002F4AA7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pour le reste du monde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Depuis la parution de son premier album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il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en 2016 — nommé parmi les 10 meilleurs albums de l’année par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Time Magazine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— sa musique a rejoint un vaste public international.</w:t>
      </w:r>
    </w:p>
    <w:p w14:paraId="2CFB78CB" w14:textId="77777777" w:rsidR="002F4AA7" w:rsidRDefault="002F4AA7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</w:p>
    <w:p w14:paraId="58BA54FD" w14:textId="3B65019B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lastRenderedPageBreak/>
        <w:t>Formé en interprétation au conservatoire, il a développé un langage musical singulier où le piano dialogue avec des textures électroniques et orchestrales. Membre de la communauté LGBTQ+ et vivant avec le syndrome de Gilles de la Tourette, il nourrit également son œuvre de son expérience comme travailleur social, créant une musique profondément humaine, sensible et émancipatrice.</w:t>
      </w:r>
    </w:p>
    <w:p w14:paraId="7F5B6052" w14:textId="77777777" w:rsidR="00326E79" w:rsidRP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Ses albums ont été salués par des médias tels que </w:t>
      </w:r>
      <w:proofErr w:type="spellStart"/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Pitchfork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,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The Fader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et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Le Figaro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. Sur scène, il s’est produit dans des salles prestigieuses comme le </w:t>
      </w: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Concertgebouw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d’Amsterdam et le </w:t>
      </w: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Southbank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Centre de Londres, ainsi qu’au Festival International de Jazz de Montréal devant plus de 40 000 spectateurs.</w:t>
      </w:r>
    </w:p>
    <w:p w14:paraId="6F8B3800" w14:textId="77777777" w:rsidR="00326E79" w:rsidRDefault="00326E7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</w:pP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Compositeur pour le cinéma et la télévision, il a remporté un prix à Cannes pour la trame sonore du film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Matthias &amp; Maxime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Xavier Dolan et signé la musique de l’installation </w:t>
      </w:r>
      <w:proofErr w:type="spellStart"/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Wonderfall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Moment </w:t>
      </w: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Factory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à l’aéroport </w:t>
      </w:r>
      <w:proofErr w:type="spellStart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>Changi</w:t>
      </w:r>
      <w:proofErr w:type="spellEnd"/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Singapour. Sa musique figure également dans la série </w:t>
      </w:r>
      <w:r w:rsidRPr="00326E79">
        <w:rPr>
          <w:rFonts w:ascii="Arial" w:eastAsia="Times New Roman" w:hAnsi="Arial" w:cs="Arial"/>
          <w:i/>
          <w:iCs/>
          <w:kern w:val="0"/>
          <w:sz w:val="18"/>
          <w:szCs w:val="18"/>
          <w:lang w:val="fr-CA"/>
          <w14:ligatures w14:val="none"/>
        </w:rPr>
        <w:t>The Brothers Sun</w:t>
      </w:r>
      <w:r w:rsidRPr="00326E79"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t xml:space="preserve"> de Netflix, des campagnes pour Tudor et Louis Vuitton ainsi que dans la performance du patineur français Kévin Aymoz lors des Jeux olympiques Milano-Cortina.</w:t>
      </w:r>
    </w:p>
    <w:p w14:paraId="3CB71B95" w14:textId="77777777" w:rsidR="00784C69" w:rsidRDefault="00784C69" w:rsidP="00784C6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8"/>
          <w:szCs w:val="18"/>
          <w:lang w:val="fr-CA"/>
          <w14:ligatures w14:val="none"/>
        </w:rPr>
        <w:sectPr w:rsidR="00784C69" w:rsidSect="00A3197A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1B2BF014" w14:textId="2A6EA562" w:rsidR="00784C69" w:rsidRPr="00784C69" w:rsidRDefault="00784C69" w:rsidP="00784C69">
      <w:pPr>
        <w:spacing w:before="100" w:beforeAutospacing="1" w:after="100" w:afterAutospacing="1"/>
        <w:outlineLvl w:val="2"/>
        <w:rPr>
          <w:rFonts w:ascii="Arial" w:eastAsia="Times New Roman" w:hAnsi="Arial" w:cs="Arial"/>
          <w:b/>
          <w:bCs/>
          <w:kern w:val="0"/>
          <w:sz w:val="16"/>
          <w:szCs w:val="16"/>
          <w:lang w:val="fr-CA"/>
          <w14:ligatures w14:val="none"/>
        </w:rPr>
      </w:pPr>
      <w:r w:rsidRPr="00784C69">
        <w:rPr>
          <w:rFonts w:ascii="Arial" w:eastAsia="Times New Roman" w:hAnsi="Arial" w:cs="Arial"/>
          <w:b/>
          <w:bCs/>
          <w:kern w:val="0"/>
          <w:sz w:val="16"/>
          <w:szCs w:val="16"/>
          <w:lang w:val="fr-CA"/>
          <w14:ligatures w14:val="none"/>
        </w:rPr>
        <w:t>EN SPECTACLE</w:t>
      </w:r>
      <w:r w:rsidRPr="00784C69">
        <w:rPr>
          <w:rFonts w:ascii="Arial" w:eastAsia="Times New Roman" w:hAnsi="Arial" w:cs="Arial"/>
          <w:b/>
          <w:bCs/>
          <w:kern w:val="0"/>
          <w:sz w:val="16"/>
          <w:szCs w:val="16"/>
          <w:lang w:val="fr-CA"/>
          <w14:ligatures w14:val="none"/>
        </w:rPr>
        <w:br/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>24 septembre — Waterloo — Maison de la culture 27 septembre — Sainte-Geneviève — Salle Pauline-Julien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3 octobre — Val-Morin — Théâtre du Marais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23 octobre — Berlin, DE — Felt Room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26 octobre — Londres, UK — World Heart Beat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 xml:space="preserve">27 octobre — Utrecht, NL — </w:t>
      </w:r>
      <w:proofErr w:type="spellStart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>TivoliVredenburg</w:t>
      </w:r>
      <w:proofErr w:type="spellEnd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28 octobre — Paris, FR — La Piccola Scala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28 novembre — Toronto, ON — Koerner Hall</w:t>
      </w:r>
      <w:r w:rsidRPr="00784C69">
        <w:rPr>
          <w:rFonts w:ascii="Arial" w:eastAsia="Times New Roman" w:hAnsi="Arial" w:cs="Arial"/>
          <w:b/>
          <w:bCs/>
          <w:kern w:val="0"/>
          <w:sz w:val="16"/>
          <w:szCs w:val="16"/>
          <w:lang w:val="fr-CA"/>
          <w14:ligatures w14:val="none"/>
        </w:rPr>
        <w:br/>
      </w:r>
      <w:r w:rsidRPr="00784C69">
        <w:rPr>
          <w:rFonts w:ascii="Arial" w:eastAsia="Times New Roman" w:hAnsi="Arial" w:cs="Arial"/>
          <w:b/>
          <w:bCs/>
          <w:kern w:val="0"/>
          <w:sz w:val="16"/>
          <w:szCs w:val="16"/>
          <w:lang w:val="fr-CA"/>
          <w14:ligatures w14:val="none"/>
        </w:rPr>
        <w:t>2027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23 janvier — Nominingue — Espace Saint-Ignace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28 janvier — Sainte-Thérèse — Théâtre Lionel-Groulx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29 janvier — Saint-Hyacinthe — Centre des arts Juliette-Lassonde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30 janvier — Baie-du-Febvre — Théâtre Belcourt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31 janvier — Victoriaville — Le Carré 150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5 février — Shawinigan — Centre des Arts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6 février — Sherbrooke — Théâtre Granada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7 février — Salaberry-de-Valleyfield — Salle Albert-Dumouchel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 xml:space="preserve">10 février — Drummondville — Maison des arts Desjardins 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12 février — Joliette — Centre culturel Desjardins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13 février — Montmagny — Salle Edwin-Bélanger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14 février — Québec — Grand Théâtre de Québec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17 février — Brossard — Théâtre Manuvie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18 février — L’Assomption — Théâtre Hector-Charland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 xml:space="preserve">19 février — Sainte-Marie-de-Beauce — Salle </w:t>
      </w:r>
      <w:proofErr w:type="spellStart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>Méchatigan</w:t>
      </w:r>
      <w:proofErr w:type="spellEnd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20 février — Thetford Mines — Salle Dussault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21 février — Terrebonne — Théâtre du Vieux-Terrebonne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25 février – Longueuil – Théâtre de la Ville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26 février – Laval – Salle André-Mathieu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27 février – St-Eustache – Le Zénith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>05 mars – Ottawa – CNA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  <w:t xml:space="preserve">04 avril – Vancouver – Chan Center for the </w:t>
      </w:r>
      <w:proofErr w:type="spellStart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>Performing</w:t>
      </w:r>
      <w:proofErr w:type="spellEnd"/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t xml:space="preserve"> Arts</w:t>
      </w:r>
      <w:r w:rsidRPr="00784C69">
        <w:rPr>
          <w:rFonts w:ascii="Arial" w:eastAsia="Times New Roman" w:hAnsi="Arial" w:cs="Arial"/>
          <w:kern w:val="0"/>
          <w:sz w:val="16"/>
          <w:szCs w:val="16"/>
          <w:lang w:val="fr-CA"/>
          <w14:ligatures w14:val="none"/>
        </w:rPr>
        <w:br/>
      </w:r>
      <w:r w:rsidRPr="00784C69">
        <w:rPr>
          <w:rFonts w:ascii="Arial" w:hAnsi="Arial" w:cs="Arial"/>
          <w:sz w:val="16"/>
          <w:szCs w:val="16"/>
          <w:lang w:val="fr-CA"/>
        </w:rPr>
        <w:t>21 mai — Edmundston, NB — Salle Léo-Poulin</w:t>
      </w:r>
      <w:r w:rsidRPr="00784C69">
        <w:rPr>
          <w:rFonts w:ascii="Arial" w:hAnsi="Arial" w:cs="Arial"/>
          <w:sz w:val="16"/>
          <w:szCs w:val="16"/>
          <w:lang w:val="fr-CA"/>
        </w:rPr>
        <w:br/>
        <w:t>21 mai — Caraquet, NB — Centre culturel de Caraquet</w:t>
      </w:r>
      <w:r w:rsidRPr="00784C69">
        <w:rPr>
          <w:rFonts w:ascii="Arial" w:hAnsi="Arial" w:cs="Arial"/>
          <w:sz w:val="16"/>
          <w:szCs w:val="16"/>
          <w:lang w:val="fr-CA"/>
        </w:rPr>
        <w:br/>
        <w:t xml:space="preserve">22 mai — Moncton, NB — Capitol </w:t>
      </w:r>
      <w:proofErr w:type="spellStart"/>
      <w:r w:rsidRPr="00784C69">
        <w:rPr>
          <w:rFonts w:ascii="Arial" w:hAnsi="Arial" w:cs="Arial"/>
          <w:sz w:val="16"/>
          <w:szCs w:val="16"/>
          <w:lang w:val="fr-CA"/>
        </w:rPr>
        <w:t>Theatre</w:t>
      </w:r>
      <w:proofErr w:type="spellEnd"/>
      <w:r w:rsidRPr="00784C69">
        <w:rPr>
          <w:rFonts w:ascii="Arial" w:hAnsi="Arial" w:cs="Arial"/>
          <w:sz w:val="16"/>
          <w:szCs w:val="16"/>
          <w:lang w:val="fr-CA"/>
        </w:rPr>
        <w:br/>
        <w:t>23 mai — Fredericton, NB — à annoncer1 octobre — Bromont — Espace culturel St-John</w:t>
      </w:r>
      <w:r w:rsidRPr="00784C69">
        <w:rPr>
          <w:rFonts w:ascii="Arial" w:hAnsi="Arial" w:cs="Arial"/>
          <w:sz w:val="16"/>
          <w:szCs w:val="16"/>
          <w:lang w:val="fr-CA"/>
        </w:rPr>
        <w:br/>
        <w:t>2 octobre — Châteauguay — Château Scènes **</w:t>
      </w:r>
      <w:r w:rsidRPr="00784C69">
        <w:rPr>
          <w:rFonts w:ascii="Arial" w:hAnsi="Arial" w:cs="Arial"/>
          <w:sz w:val="16"/>
          <w:szCs w:val="16"/>
          <w:lang w:val="fr-CA"/>
        </w:rPr>
        <w:br/>
        <w:t>7 octobre — St-Jean-sur-Richelieu — Théâtre des Deux-Rives</w:t>
      </w:r>
      <w:r w:rsidRPr="00784C69">
        <w:rPr>
          <w:rFonts w:ascii="Arial" w:hAnsi="Arial" w:cs="Arial"/>
          <w:sz w:val="16"/>
          <w:szCs w:val="16"/>
          <w:lang w:val="fr-CA"/>
        </w:rPr>
        <w:br/>
        <w:t>8 octobre — LaSalle  — Théâtre Desjardins **</w:t>
      </w:r>
      <w:r w:rsidRPr="00784C69">
        <w:rPr>
          <w:rFonts w:ascii="Arial" w:hAnsi="Arial" w:cs="Arial"/>
          <w:sz w:val="16"/>
          <w:szCs w:val="16"/>
          <w:lang w:val="fr-CA"/>
        </w:rPr>
        <w:br/>
        <w:t>10 octobre — Gatineau  — Salle Odyssée **</w:t>
      </w:r>
      <w:r w:rsidRPr="00784C69">
        <w:rPr>
          <w:rFonts w:ascii="Arial" w:hAnsi="Arial" w:cs="Arial"/>
          <w:sz w:val="16"/>
          <w:szCs w:val="16"/>
          <w:lang w:val="fr-CA"/>
        </w:rPr>
        <w:br/>
        <w:t>12 octobre — St-Jérôme — Théâtre Gilles-Vigneault **</w:t>
      </w:r>
      <w:r w:rsidRPr="00784C69">
        <w:rPr>
          <w:rFonts w:ascii="Arial" w:hAnsi="Arial" w:cs="Arial"/>
          <w:sz w:val="16"/>
          <w:szCs w:val="16"/>
          <w:lang w:val="fr-CA"/>
        </w:rPr>
        <w:br/>
        <w:t xml:space="preserve">13 octobre — Val-d’Or  — Théâtre </w:t>
      </w:r>
      <w:proofErr w:type="spellStart"/>
      <w:r w:rsidRPr="00784C69">
        <w:rPr>
          <w:rFonts w:ascii="Arial" w:hAnsi="Arial" w:cs="Arial"/>
          <w:sz w:val="16"/>
          <w:szCs w:val="16"/>
          <w:lang w:val="fr-CA"/>
        </w:rPr>
        <w:t>Télébec</w:t>
      </w:r>
      <w:proofErr w:type="spellEnd"/>
      <w:r w:rsidRPr="00784C69">
        <w:rPr>
          <w:rFonts w:ascii="Arial" w:hAnsi="Arial" w:cs="Arial"/>
          <w:sz w:val="16"/>
          <w:szCs w:val="16"/>
          <w:lang w:val="fr-CA"/>
        </w:rPr>
        <w:t xml:space="preserve"> **</w:t>
      </w:r>
      <w:r w:rsidRPr="00784C69">
        <w:rPr>
          <w:rFonts w:ascii="Arial" w:hAnsi="Arial" w:cs="Arial"/>
          <w:sz w:val="16"/>
          <w:szCs w:val="16"/>
          <w:lang w:val="fr-CA"/>
        </w:rPr>
        <w:br/>
        <w:t>14 octobre — Rouyn-Noranda — Théâtre du Cuivre **</w:t>
      </w:r>
      <w:r w:rsidRPr="00784C69">
        <w:rPr>
          <w:rFonts w:ascii="Arial" w:hAnsi="Arial" w:cs="Arial"/>
          <w:sz w:val="16"/>
          <w:szCs w:val="16"/>
          <w:lang w:val="fr-CA"/>
        </w:rPr>
        <w:br/>
        <w:t>15 octobre — Amos — Théâtre des Eskers **</w:t>
      </w:r>
      <w:r w:rsidRPr="00784C69">
        <w:rPr>
          <w:rFonts w:ascii="Arial" w:hAnsi="Arial" w:cs="Arial"/>
          <w:sz w:val="16"/>
          <w:szCs w:val="16"/>
          <w:lang w:val="fr-CA"/>
        </w:rPr>
        <w:br/>
        <w:t>20 octobre — Saguenay  — Théâtre C</w:t>
      </w:r>
      <w:r w:rsidRPr="00784C69">
        <w:rPr>
          <w:rFonts w:ascii="Arial" w:hAnsi="Arial" w:cs="Arial"/>
          <w:sz w:val="16"/>
          <w:szCs w:val="16"/>
          <w:lang w:val="fr-CA"/>
        </w:rPr>
        <w:br/>
        <w:t>21 octobre — Rimouski — Salle de spectacles Desjardins **</w:t>
      </w:r>
      <w:r w:rsidRPr="00784C69">
        <w:rPr>
          <w:rFonts w:ascii="Arial" w:hAnsi="Arial" w:cs="Arial"/>
          <w:sz w:val="16"/>
          <w:szCs w:val="16"/>
          <w:lang w:val="fr-CA"/>
        </w:rPr>
        <w:br/>
        <w:t>22 octobre — Carleton-sur-Mer  — Salle Comble du Quai **</w:t>
      </w:r>
      <w:r w:rsidRPr="00784C69">
        <w:rPr>
          <w:rFonts w:ascii="Arial" w:hAnsi="Arial" w:cs="Arial"/>
          <w:sz w:val="16"/>
          <w:szCs w:val="16"/>
          <w:lang w:val="fr-CA"/>
        </w:rPr>
        <w:br/>
        <w:t>** En vente bientôt</w:t>
      </w:r>
    </w:p>
    <w:p w14:paraId="57A9F82C" w14:textId="77777777" w:rsidR="00784C69" w:rsidRDefault="00784C69" w:rsidP="00326E79">
      <w:pPr>
        <w:spacing w:before="100" w:beforeAutospacing="1" w:after="100" w:afterAutospacing="1"/>
        <w:rPr>
          <w:rFonts w:ascii="Arial" w:eastAsia="Times New Roman" w:hAnsi="Arial" w:cs="Arial"/>
          <w:kern w:val="0"/>
          <w:sz w:val="18"/>
          <w:szCs w:val="18"/>
          <w:lang w:val="fr-CA"/>
          <w14:ligatures w14:val="none"/>
        </w:rPr>
        <w:sectPr w:rsidR="00784C69" w:rsidSect="00784C69">
          <w:type w:val="continuous"/>
          <w:pgSz w:w="12240" w:h="15840"/>
          <w:pgMar w:top="1440" w:right="1440" w:bottom="1440" w:left="1440" w:header="708" w:footer="708" w:gutter="0"/>
          <w:cols w:num="2" w:space="708"/>
          <w:docGrid w:linePitch="360"/>
        </w:sectPr>
      </w:pPr>
    </w:p>
    <w:p w14:paraId="0A69B1B7" w14:textId="2408160F" w:rsidR="004D48F8" w:rsidRPr="00444CDE" w:rsidRDefault="00A3197A">
      <w:pPr>
        <w:rPr>
          <w:rFonts w:ascii="Arial" w:hAnsi="Arial" w:cs="Arial"/>
          <w:sz w:val="18"/>
          <w:szCs w:val="18"/>
          <w:lang w:val="fr-CA"/>
        </w:rPr>
      </w:pPr>
      <w:r w:rsidRPr="00444CDE">
        <w:rPr>
          <w:rFonts w:ascii="Arial" w:hAnsi="Arial" w:cs="Arial"/>
          <w:sz w:val="18"/>
          <w:szCs w:val="18"/>
          <w:lang w:val="fr-CA"/>
        </w:rPr>
        <w:t xml:space="preserve">Source : </w:t>
      </w:r>
      <w:proofErr w:type="spellStart"/>
      <w:r w:rsidRPr="00444CDE">
        <w:rPr>
          <w:rFonts w:ascii="Arial" w:hAnsi="Arial" w:cs="Arial"/>
          <w:sz w:val="18"/>
          <w:szCs w:val="18"/>
          <w:lang w:val="fr-CA"/>
        </w:rPr>
        <w:t>Arts&amp;Crafts</w:t>
      </w:r>
      <w:proofErr w:type="spellEnd"/>
    </w:p>
    <w:p w14:paraId="49C6A733" w14:textId="5D75F344" w:rsidR="008711D0" w:rsidRPr="00444CDE" w:rsidRDefault="00A3197A">
      <w:pPr>
        <w:rPr>
          <w:rFonts w:ascii="Arial" w:hAnsi="Arial" w:cs="Arial"/>
          <w:sz w:val="18"/>
          <w:szCs w:val="18"/>
          <w:lang w:val="fr-CA"/>
        </w:rPr>
      </w:pPr>
      <w:r w:rsidRPr="00444CDE">
        <w:rPr>
          <w:rFonts w:ascii="Arial" w:hAnsi="Arial" w:cs="Arial"/>
          <w:sz w:val="18"/>
          <w:szCs w:val="18"/>
          <w:lang w:val="fr-CA"/>
        </w:rPr>
        <w:t>Info</w:t>
      </w:r>
      <w:r w:rsidR="00DE2FE3" w:rsidRPr="00444CDE">
        <w:rPr>
          <w:rFonts w:ascii="Arial" w:hAnsi="Arial" w:cs="Arial"/>
          <w:sz w:val="18"/>
          <w:szCs w:val="18"/>
          <w:lang w:val="fr-CA"/>
        </w:rPr>
        <w:t>rmation</w:t>
      </w:r>
      <w:r w:rsidRPr="00444CDE">
        <w:rPr>
          <w:rFonts w:ascii="Arial" w:hAnsi="Arial" w:cs="Arial"/>
          <w:sz w:val="18"/>
          <w:szCs w:val="18"/>
          <w:lang w:val="fr-CA"/>
        </w:rPr>
        <w:t> : Simon</w:t>
      </w:r>
      <w:r w:rsidR="00DE2FE3" w:rsidRPr="00444CDE">
        <w:rPr>
          <w:rFonts w:ascii="Arial" w:hAnsi="Arial" w:cs="Arial"/>
          <w:sz w:val="18"/>
          <w:szCs w:val="18"/>
          <w:lang w:val="fr-CA"/>
        </w:rPr>
        <w:t xml:space="preserve"> Fauteux</w:t>
      </w:r>
    </w:p>
    <w:sectPr w:rsidR="008711D0" w:rsidRPr="00444CDE" w:rsidSect="00A3197A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160FB6"/>
    <w:multiLevelType w:val="multilevel"/>
    <w:tmpl w:val="CADC19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1391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E79"/>
    <w:rsid w:val="002F4AA7"/>
    <w:rsid w:val="00326E79"/>
    <w:rsid w:val="00353978"/>
    <w:rsid w:val="0040599E"/>
    <w:rsid w:val="00444CDE"/>
    <w:rsid w:val="004818CD"/>
    <w:rsid w:val="004D48F8"/>
    <w:rsid w:val="00502B70"/>
    <w:rsid w:val="00694655"/>
    <w:rsid w:val="006A0B09"/>
    <w:rsid w:val="00784C69"/>
    <w:rsid w:val="007F4317"/>
    <w:rsid w:val="008711D0"/>
    <w:rsid w:val="0098579D"/>
    <w:rsid w:val="00A3197A"/>
    <w:rsid w:val="00B223EA"/>
    <w:rsid w:val="00B56B49"/>
    <w:rsid w:val="00C42E2C"/>
    <w:rsid w:val="00C92A0F"/>
    <w:rsid w:val="00CB41E1"/>
    <w:rsid w:val="00DE2633"/>
    <w:rsid w:val="00DE2FE3"/>
    <w:rsid w:val="00EE08DA"/>
    <w:rsid w:val="00F815F5"/>
    <w:rsid w:val="00F967A9"/>
    <w:rsid w:val="00FB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6BF364"/>
  <w14:defaultImageDpi w14:val="32767"/>
  <w15:chartTrackingRefBased/>
  <w15:docId w15:val="{18255946-10DE-5848-B5BE-A1D1AFA43C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26E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26E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26E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6E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6E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26E7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26E7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26E7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26E7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6E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26E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26E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6E7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6E7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26E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26E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26E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26E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26E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26E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26E7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26E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26E7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E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26E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26E7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26E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26E7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26E7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6E7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CA"/>
      <w14:ligatures w14:val="none"/>
    </w:rPr>
  </w:style>
  <w:style w:type="character" w:styleId="Strong">
    <w:name w:val="Strong"/>
    <w:basedOn w:val="DefaultParagraphFont"/>
    <w:uiPriority w:val="22"/>
    <w:qFormat/>
    <w:rsid w:val="00326E79"/>
    <w:rPr>
      <w:b/>
      <w:bCs/>
    </w:rPr>
  </w:style>
  <w:style w:type="character" w:styleId="Emphasis">
    <w:name w:val="Emphasis"/>
    <w:basedOn w:val="DefaultParagraphFont"/>
    <w:uiPriority w:val="20"/>
    <w:qFormat/>
    <w:rsid w:val="00326E79"/>
    <w:rPr>
      <w:i/>
      <w:iCs/>
    </w:rPr>
  </w:style>
  <w:style w:type="character" w:customStyle="1" w:styleId="Aucun">
    <w:name w:val="Aucun"/>
    <w:rsid w:val="00326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994</Words>
  <Characters>5439</Characters>
  <Application>Microsoft Office Word</Application>
  <DocSecurity>0</DocSecurity>
  <Lines>95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Fauteux</dc:creator>
  <cp:keywords/>
  <dc:description/>
  <cp:lastModifiedBy>Simon Fauteux</cp:lastModifiedBy>
  <cp:revision>2</cp:revision>
  <dcterms:created xsi:type="dcterms:W3CDTF">2026-05-28T13:48:00Z</dcterms:created>
  <dcterms:modified xsi:type="dcterms:W3CDTF">2026-05-28T13:48:00Z</dcterms:modified>
</cp:coreProperties>
</file>